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3A463D" w:rsidRDefault="00F92268" w:rsidP="00850792">
      <w:pPr>
        <w:pStyle w:val="BodyText"/>
      </w:pPr>
      <w:r w:rsidRPr="003A463D">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3A463D"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3A463D" w:rsidRDefault="00F92268" w:rsidP="003A463D">
            <w:pPr>
              <w:pStyle w:val="RefTableData"/>
            </w:pPr>
            <w:r w:rsidRPr="003A463D">
              <w:t>Reference number(s)</w:t>
            </w:r>
          </w:p>
        </w:tc>
      </w:tr>
      <w:tr w:rsidR="00F92268" w:rsidRPr="003A463D"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3A384246" w:rsidR="00F92268" w:rsidRPr="003A463D" w:rsidRDefault="00DB5FD3" w:rsidP="003A463D">
            <w:pPr>
              <w:pStyle w:val="RefTableData"/>
            </w:pPr>
            <w:r w:rsidRPr="003A463D">
              <w:t>1539-D</w:t>
            </w:r>
          </w:p>
        </w:tc>
      </w:tr>
    </w:tbl>
    <w:p w14:paraId="74FBA5B4" w14:textId="77777777" w:rsidR="00051356" w:rsidRPr="003A463D" w:rsidRDefault="00051356" w:rsidP="003A463D">
      <w:pPr>
        <w:pStyle w:val="BodyText"/>
        <w:spacing w:after="0"/>
        <w:rPr>
          <w:sz w:val="16"/>
          <w:szCs w:val="16"/>
        </w:rPr>
        <w:sectPr w:rsidR="00051356" w:rsidRPr="003A463D" w:rsidSect="00160F4A">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0762921C" w:rsidR="004B15BB" w:rsidRPr="003A463D" w:rsidRDefault="00DB5FD3" w:rsidP="007E5C16">
      <w:pPr>
        <w:pStyle w:val="Heading1"/>
      </w:pPr>
      <w:r w:rsidRPr="003A463D">
        <w:t>Specialty Generics First Criteria</w:t>
      </w:r>
    </w:p>
    <w:p w14:paraId="0FA3C28C" w14:textId="6FBB448B" w:rsidR="00C40AD3" w:rsidRPr="003A463D" w:rsidRDefault="00DB5FD3" w:rsidP="00C40AD3">
      <w:pPr>
        <w:pStyle w:val="Heading2"/>
      </w:pPr>
      <w:r w:rsidRPr="003A463D">
        <w:t>Program Summary</w:t>
      </w:r>
    </w:p>
    <w:p w14:paraId="708A251C" w14:textId="4163E8FC" w:rsidR="00DB5FD3" w:rsidRPr="003A463D" w:rsidRDefault="00DB5FD3" w:rsidP="00DB5FD3">
      <w:pPr>
        <w:pStyle w:val="BodyText"/>
      </w:pPr>
      <w:r w:rsidRPr="003A463D">
        <w:t>The intent of the criteria is to require that members try and fail an A-rated generic equivalent prior to receiving a brand specialty medication. If the member has experienced treatment failure with an A-rated (i.e., AA, AB, AN, AO, AP, AT) generic equivalent medication due to an intolerable adverse reaction attributed to an inactive ingredient of the generic medication, the requested brand medication will be approved upon submission of supporting documentation.</w:t>
      </w:r>
    </w:p>
    <w:p w14:paraId="6DB67055" w14:textId="4E19A617" w:rsidR="00DB5FD3" w:rsidRPr="003A463D" w:rsidRDefault="00DB5FD3" w:rsidP="00DB5FD3">
      <w:pPr>
        <w:pStyle w:val="BodyText"/>
      </w:pPr>
      <w:r w:rsidRPr="003A463D">
        <w:t>Prior to dispensing, each referral is reviewed based on all programs implemented for the client.</w:t>
      </w:r>
    </w:p>
    <w:p w14:paraId="50A38FBA" w14:textId="5A23F38D" w:rsidR="00FE0C63" w:rsidRPr="003A463D" w:rsidRDefault="00685107" w:rsidP="00E050E1">
      <w:pPr>
        <w:pStyle w:val="Heading2"/>
      </w:pPr>
      <w:r w:rsidRPr="003A463D">
        <w:t>Coverage Criteria</w:t>
      </w:r>
    </w:p>
    <w:p w14:paraId="060700D4" w14:textId="478C1A36" w:rsidR="00DB5FD3" w:rsidRPr="003A463D" w:rsidRDefault="00DB5FD3" w:rsidP="00DB5FD3">
      <w:pPr>
        <w:pStyle w:val="BodyText"/>
      </w:pPr>
      <w:r w:rsidRPr="003A463D">
        <w:t xml:space="preserve">Authorization may be granted for a requested medication when </w:t>
      </w:r>
      <w:proofErr w:type="gramStart"/>
      <w:r w:rsidRPr="003A463D">
        <w:t>all of</w:t>
      </w:r>
      <w:proofErr w:type="gramEnd"/>
      <w:r w:rsidRPr="003A463D">
        <w:t xml:space="preserve"> the following criteria are met:</w:t>
      </w:r>
    </w:p>
    <w:p w14:paraId="55B776D8" w14:textId="48D90B35" w:rsidR="00DB5FD3" w:rsidRPr="003A463D" w:rsidRDefault="00DB5FD3" w:rsidP="00DB5FD3">
      <w:pPr>
        <w:pStyle w:val="ListParagraph"/>
        <w:numPr>
          <w:ilvl w:val="0"/>
          <w:numId w:val="28"/>
        </w:numPr>
        <w:contextualSpacing w:val="0"/>
      </w:pPr>
      <w:r w:rsidRPr="003A463D">
        <w:t xml:space="preserve">The </w:t>
      </w:r>
      <w:r w:rsidR="0073732D">
        <w:t>member</w:t>
      </w:r>
      <w:r w:rsidR="0073732D" w:rsidRPr="003A463D">
        <w:t xml:space="preserve"> </w:t>
      </w:r>
      <w:r w:rsidRPr="003A463D">
        <w:t>has failed treatment with the generic medication due to an intolerable adverse event (e.g., rash, nausea, vomiting).</w:t>
      </w:r>
    </w:p>
    <w:p w14:paraId="7A570E4A" w14:textId="3007B5F9" w:rsidR="00DB5FD3" w:rsidRPr="003A463D" w:rsidRDefault="00DB5FD3" w:rsidP="00DB5FD3">
      <w:pPr>
        <w:pStyle w:val="ListParagraph"/>
        <w:numPr>
          <w:ilvl w:val="0"/>
          <w:numId w:val="28"/>
        </w:numPr>
        <w:contextualSpacing w:val="0"/>
      </w:pPr>
      <w:r w:rsidRPr="003A463D">
        <w:t>The adverse event was not an expected adverse event attributed to the active ingredient as described in the prescribing information (i.e., known adverse reaction for both the brand and generic medication).</w:t>
      </w:r>
    </w:p>
    <w:p w14:paraId="78CC1435" w14:textId="13107187" w:rsidR="00DB5FD3" w:rsidRPr="003A463D" w:rsidRDefault="00DB5FD3" w:rsidP="00DB5FD3">
      <w:pPr>
        <w:pStyle w:val="ListParagraph"/>
        <w:numPr>
          <w:ilvl w:val="0"/>
          <w:numId w:val="28"/>
        </w:numPr>
        <w:contextualSpacing w:val="0"/>
      </w:pPr>
      <w:r w:rsidRPr="003A463D">
        <w:t>The adverse event is documented in member’s chart note(s) or medical record. Submission of one of the following is required for approval:</w:t>
      </w:r>
    </w:p>
    <w:p w14:paraId="483021AD" w14:textId="5B56A307" w:rsidR="00DB5FD3" w:rsidRPr="003A463D" w:rsidRDefault="00DB5FD3" w:rsidP="003A463D">
      <w:pPr>
        <w:pStyle w:val="ListParagraph"/>
        <w:numPr>
          <w:ilvl w:val="1"/>
          <w:numId w:val="30"/>
        </w:numPr>
        <w:contextualSpacing w:val="0"/>
      </w:pPr>
      <w:r w:rsidRPr="003A463D">
        <w:t>Specific and detailed chart note(s) or medical record documentation including description, date/time, and severity of the adverse event, dosage and duration of generic medication treatment, required intervention (if any), and relevant tests or laboratory data (if any).</w:t>
      </w:r>
    </w:p>
    <w:p w14:paraId="12853D18" w14:textId="237814BB" w:rsidR="00DB5FD3" w:rsidRPr="003A463D" w:rsidRDefault="00DB5FD3" w:rsidP="003A463D">
      <w:pPr>
        <w:pStyle w:val="ListParagraph"/>
        <w:numPr>
          <w:ilvl w:val="1"/>
          <w:numId w:val="30"/>
        </w:numPr>
        <w:contextualSpacing w:val="0"/>
      </w:pPr>
      <w:r w:rsidRPr="003A463D">
        <w:t>MedWatch form of this trial and failure including the adverse reaction.</w:t>
      </w:r>
    </w:p>
    <w:p w14:paraId="3A643EC3" w14:textId="6FBFA48C" w:rsidR="00A501AC" w:rsidRPr="003A463D" w:rsidRDefault="00DB5FD3" w:rsidP="00A501AC">
      <w:pPr>
        <w:pStyle w:val="Heading2"/>
      </w:pPr>
      <w:r w:rsidRPr="003A463D">
        <w:t>Note</w:t>
      </w:r>
    </w:p>
    <w:p w14:paraId="540002CC" w14:textId="77777777" w:rsidR="00DB5FD3" w:rsidRPr="003A463D" w:rsidRDefault="00DB5FD3" w:rsidP="00DB5FD3">
      <w:pPr>
        <w:pStyle w:val="BodyText"/>
      </w:pPr>
      <w:r w:rsidRPr="003A463D">
        <w:t>Due to brand and generic products containing identical active ingredients and having proven bioequivalent pharmacokinetics, differences in the FDA labeled indications between brand and generic products are not, by themselves, sufficient reason to allow access to the brand over the generic.</w:t>
      </w:r>
    </w:p>
    <w:sectPr w:rsidR="00DB5FD3" w:rsidRPr="003A463D" w:rsidSect="000B422C">
      <w:headerReference w:type="first" r:id="rId15"/>
      <w:footerReference w:type="first" r:id="rId16"/>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F7C25" w14:textId="77777777" w:rsidR="007315CF" w:rsidRDefault="007315CF">
      <w:r>
        <w:separator/>
      </w:r>
    </w:p>
  </w:endnote>
  <w:endnote w:type="continuationSeparator" w:id="0">
    <w:p w14:paraId="76AED024" w14:textId="77777777" w:rsidR="007315CF" w:rsidRDefault="007315CF">
      <w:r>
        <w:continuationSeparator/>
      </w:r>
    </w:p>
  </w:endnote>
  <w:endnote w:type="continuationNotice" w:id="1">
    <w:p w14:paraId="188A7471" w14:textId="77777777" w:rsidR="007315CF" w:rsidRDefault="007315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18E98B19" w:rsidR="00C36B72" w:rsidRPr="00AB4C71" w:rsidRDefault="00DB5FD3" w:rsidP="00C36B72">
    <w:pPr>
      <w:tabs>
        <w:tab w:val="right" w:pos="10710"/>
      </w:tabs>
      <w:spacing w:before="120" w:after="120"/>
      <w:rPr>
        <w:rFonts w:cs="Arial"/>
        <w:snapToGrid w:val="0"/>
        <w:color w:val="000000"/>
        <w:sz w:val="16"/>
      </w:rPr>
    </w:pPr>
    <w:r w:rsidRPr="005455F8">
      <w:rPr>
        <w:sz w:val="16"/>
        <w:szCs w:val="16"/>
      </w:rPr>
      <w:fldChar w:fldCharType="begin"/>
    </w:r>
    <w:r w:rsidRPr="005455F8">
      <w:rPr>
        <w:sz w:val="16"/>
        <w:szCs w:val="16"/>
      </w:rPr>
      <w:instrText xml:space="preserve"> FILENAME   \* MERGEFORMAT </w:instrText>
    </w:r>
    <w:r w:rsidRPr="005455F8">
      <w:rPr>
        <w:sz w:val="16"/>
        <w:szCs w:val="16"/>
      </w:rPr>
      <w:fldChar w:fldCharType="separate"/>
    </w:r>
    <w:r w:rsidR="00AB4C71" w:rsidRPr="005455F8">
      <w:rPr>
        <w:noProof/>
        <w:sz w:val="16"/>
        <w:szCs w:val="16"/>
      </w:rPr>
      <w:t>Specialty Generics First Criteria 1539-D 2025_R.docx</w:t>
    </w:r>
    <w:r w:rsidRPr="005455F8">
      <w:rPr>
        <w:sz w:val="16"/>
        <w:szCs w:val="16"/>
      </w:rPr>
      <w:fldChar w:fldCharType="end"/>
    </w:r>
    <w:r w:rsidR="00C36B72" w:rsidRPr="00AB4C71">
      <w:rPr>
        <w:rFonts w:cs="Arial"/>
        <w:snapToGrid w:val="0"/>
        <w:color w:val="000000"/>
        <w:sz w:val="16"/>
      </w:rPr>
      <w:tab/>
      <w:t>© 20</w:t>
    </w:r>
    <w:r w:rsidR="00AB4C71">
      <w:rPr>
        <w:rFonts w:cs="Arial"/>
        <w:snapToGrid w:val="0"/>
        <w:color w:val="000000"/>
        <w:sz w:val="16"/>
      </w:rPr>
      <w:t>25</w:t>
    </w:r>
    <w:r w:rsidR="00C36B72" w:rsidRPr="00AB4C71">
      <w:rPr>
        <w:rFonts w:cs="Arial"/>
        <w:snapToGrid w:val="0"/>
        <w:color w:val="000000"/>
        <w:sz w:val="16"/>
      </w:rPr>
      <w:t xml:space="preserve"> CVS Caremark. All rights reserved.</w:t>
    </w:r>
  </w:p>
  <w:p w14:paraId="61CF5924" w14:textId="327FF693"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1B735491" w:rsidR="00F75C81" w:rsidRPr="00AA1E6A" w:rsidRDefault="00C36B72" w:rsidP="000B422C">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788E65B6" w:rsidR="00F50D98" w:rsidRPr="00AB4C71" w:rsidRDefault="00DB5FD3" w:rsidP="00F50D98">
    <w:pPr>
      <w:tabs>
        <w:tab w:val="right" w:pos="10710"/>
      </w:tabs>
      <w:spacing w:before="120" w:after="120"/>
      <w:rPr>
        <w:rStyle w:val="BodyTextChar"/>
        <w:sz w:val="16"/>
        <w:szCs w:val="16"/>
      </w:rPr>
    </w:pPr>
    <w:r w:rsidRPr="005455F8">
      <w:rPr>
        <w:sz w:val="16"/>
        <w:szCs w:val="16"/>
      </w:rPr>
      <w:fldChar w:fldCharType="begin"/>
    </w:r>
    <w:r w:rsidRPr="005455F8">
      <w:rPr>
        <w:sz w:val="16"/>
        <w:szCs w:val="16"/>
      </w:rPr>
      <w:instrText xml:space="preserve"> FILENAME   \* MERGEFORMAT </w:instrText>
    </w:r>
    <w:r w:rsidRPr="005455F8">
      <w:rPr>
        <w:sz w:val="16"/>
        <w:szCs w:val="16"/>
      </w:rPr>
      <w:fldChar w:fldCharType="separate"/>
    </w:r>
    <w:r w:rsidR="00344CA6">
      <w:rPr>
        <w:noProof/>
        <w:sz w:val="16"/>
        <w:szCs w:val="16"/>
      </w:rPr>
      <w:t>Specialty Generics First Criteria 1539-D P2025.docx</w:t>
    </w:r>
    <w:r w:rsidRPr="005455F8">
      <w:rPr>
        <w:sz w:val="16"/>
        <w:szCs w:val="16"/>
      </w:rPr>
      <w:fldChar w:fldCharType="end"/>
    </w:r>
    <w:r w:rsidR="00F50D98" w:rsidRPr="00AB4C71">
      <w:rPr>
        <w:rFonts w:cs="Arial"/>
        <w:snapToGrid w:val="0"/>
        <w:color w:val="000000"/>
        <w:sz w:val="16"/>
      </w:rPr>
      <w:tab/>
    </w:r>
    <w:r w:rsidR="00F50D98" w:rsidRPr="00AB4C71">
      <w:rPr>
        <w:rStyle w:val="BodyTextChar"/>
        <w:sz w:val="16"/>
        <w:szCs w:val="16"/>
      </w:rPr>
      <w:t>© 20</w:t>
    </w:r>
    <w:r w:rsidR="00AB4C71">
      <w:rPr>
        <w:rStyle w:val="BodyTextChar"/>
        <w:sz w:val="16"/>
        <w:szCs w:val="16"/>
      </w:rPr>
      <w:t>25</w:t>
    </w:r>
    <w:r w:rsidR="00F50D98" w:rsidRPr="00AB4C71">
      <w:rPr>
        <w:rStyle w:val="BodyTextChar"/>
        <w:sz w:val="16"/>
        <w:szCs w:val="16"/>
      </w:rPr>
      <w:t xml:space="preserve"> CVS Caremark. All rights reserved.</w:t>
    </w:r>
  </w:p>
  <w:p w14:paraId="39BFE579" w14:textId="4B2E7C16" w:rsidR="00F50D98" w:rsidRPr="003A463D" w:rsidRDefault="00F50D98" w:rsidP="003A463D">
    <w:pPr>
      <w:pStyle w:val="BodyText"/>
      <w:rPr>
        <w:sz w:val="16"/>
        <w:szCs w:val="16"/>
      </w:rPr>
    </w:pPr>
    <w:r w:rsidRPr="003A463D">
      <w:rPr>
        <w:sz w:val="16"/>
        <w:szCs w:val="16"/>
      </w:rPr>
      <w:t>This document contains c</w:t>
    </w:r>
    <w:r w:rsidRPr="003A463D">
      <w:rPr>
        <w:snapToGrid w:val="0"/>
        <w:sz w:val="16"/>
        <w:szCs w:val="16"/>
      </w:rPr>
      <w:t xml:space="preserve">onfidential and proprietary information of CVS Caremark and cannot be reproduced, distributed or printed without written permission from CVS Caremark. </w:t>
    </w:r>
    <w:r w:rsidRPr="003A463D">
      <w:rPr>
        <w:sz w:val="16"/>
        <w:szCs w:val="16"/>
      </w:rPr>
      <w:t xml:space="preserve">This document contains prescription brand name drugs that are trademarks or registered trademarks of pharmaceutical manufacturers that are not affiliated with </w:t>
    </w:r>
    <w:r w:rsidRPr="003A463D">
      <w:rPr>
        <w:snapToGrid w:val="0"/>
        <w:sz w:val="16"/>
        <w:szCs w:val="16"/>
      </w:rPr>
      <w:t>CVS Caremark</w:t>
    </w:r>
    <w:r w:rsidRPr="003A463D">
      <w:rPr>
        <w:sz w:val="16"/>
        <w:szCs w:val="16"/>
      </w:rPr>
      <w:t>.</w:t>
    </w:r>
  </w:p>
  <w:p w14:paraId="64F317B8" w14:textId="7D0918B8" w:rsidR="00ED04EC" w:rsidRPr="00F50D98" w:rsidRDefault="00F50D98" w:rsidP="003C1BEC">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71CB5" w14:textId="77777777" w:rsidR="00A87FE8" w:rsidRPr="003A463D" w:rsidRDefault="00A87FE8" w:rsidP="00A87FE8">
    <w:pPr>
      <w:tabs>
        <w:tab w:val="right" w:pos="10710"/>
      </w:tabs>
      <w:spacing w:before="120" w:after="120"/>
      <w:rPr>
        <w:rStyle w:val="BodyTextChar"/>
        <w:sz w:val="16"/>
        <w:szCs w:val="16"/>
      </w:rPr>
    </w:pPr>
    <w:r w:rsidRPr="00AB3B45">
      <w:rPr>
        <w:rFonts w:ascii="Arial" w:hAnsi="Arial"/>
        <w:sz w:val="16"/>
        <w:szCs w:val="16"/>
      </w:rPr>
      <w:fldChar w:fldCharType="begin"/>
    </w:r>
    <w:r w:rsidRPr="00AB3B45">
      <w:rPr>
        <w:rFonts w:ascii="Arial" w:hAnsi="Arial"/>
        <w:sz w:val="16"/>
        <w:szCs w:val="16"/>
      </w:rPr>
      <w:instrText xml:space="preserve"> FILENAME   \* MERGEFORMAT </w:instrText>
    </w:r>
    <w:r w:rsidRPr="00AB3B45">
      <w:rPr>
        <w:rFonts w:ascii="Arial" w:hAnsi="Arial"/>
        <w:sz w:val="16"/>
        <w:szCs w:val="16"/>
      </w:rPr>
      <w:fldChar w:fldCharType="separate"/>
    </w:r>
    <w:r>
      <w:rPr>
        <w:rFonts w:ascii="Arial" w:hAnsi="Arial"/>
        <w:noProof/>
        <w:sz w:val="16"/>
        <w:szCs w:val="16"/>
      </w:rPr>
      <w:t>Specialty Generics First Criteria 1539-D 2024_R.docx</w:t>
    </w:r>
    <w:r w:rsidRPr="00AB3B45">
      <w:rPr>
        <w:rFonts w:ascii="Arial" w:hAnsi="Arial"/>
        <w:sz w:val="16"/>
        <w:szCs w:val="16"/>
      </w:rPr>
      <w:fldChar w:fldCharType="end"/>
    </w:r>
    <w:r w:rsidRPr="00EC47B6">
      <w:rPr>
        <w:rFonts w:cs="Arial"/>
        <w:snapToGrid w:val="0"/>
        <w:color w:val="000000"/>
        <w:sz w:val="16"/>
      </w:rPr>
      <w:tab/>
    </w:r>
    <w:r w:rsidRPr="003A463D">
      <w:rPr>
        <w:rStyle w:val="BodyTextChar"/>
        <w:sz w:val="16"/>
        <w:szCs w:val="16"/>
      </w:rPr>
      <w:t>© 2024 CVS Caremark. All rights reserved.</w:t>
    </w:r>
  </w:p>
  <w:p w14:paraId="75F52AAF" w14:textId="77777777" w:rsidR="00A87FE8" w:rsidRPr="003A463D" w:rsidRDefault="00A87FE8" w:rsidP="00A87FE8">
    <w:pPr>
      <w:pStyle w:val="BodyText"/>
      <w:rPr>
        <w:sz w:val="16"/>
        <w:szCs w:val="16"/>
      </w:rPr>
    </w:pPr>
    <w:r w:rsidRPr="003A463D">
      <w:rPr>
        <w:sz w:val="16"/>
        <w:szCs w:val="16"/>
      </w:rPr>
      <w:t>This document contains c</w:t>
    </w:r>
    <w:r w:rsidRPr="003A463D">
      <w:rPr>
        <w:snapToGrid w:val="0"/>
        <w:sz w:val="16"/>
        <w:szCs w:val="16"/>
      </w:rPr>
      <w:t xml:space="preserve">onfidential and proprietary information of CVS Caremark and cannot be reproduced, distributed or printed without written permission from CVS Caremark. </w:t>
    </w:r>
    <w:r w:rsidRPr="003A463D">
      <w:rPr>
        <w:sz w:val="16"/>
        <w:szCs w:val="16"/>
      </w:rPr>
      <w:t xml:space="preserve">This document contains prescription brand name drugs that are trademarks or registered trademarks of pharmaceutical manufacturers that are not affiliated with </w:t>
    </w:r>
    <w:r w:rsidRPr="003A463D">
      <w:rPr>
        <w:snapToGrid w:val="0"/>
        <w:sz w:val="16"/>
        <w:szCs w:val="16"/>
      </w:rPr>
      <w:t>CVS Caremark</w:t>
    </w:r>
    <w:r w:rsidRPr="003A463D">
      <w:rPr>
        <w:sz w:val="16"/>
        <w:szCs w:val="16"/>
      </w:rPr>
      <w:t>.</w:t>
    </w:r>
  </w:p>
  <w:p w14:paraId="706D1674" w14:textId="1CFB8FDB" w:rsidR="000F5383" w:rsidRPr="00F50D98" w:rsidRDefault="00A87FE8" w:rsidP="003C1BEC">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5F160D" w14:textId="77777777" w:rsidR="007315CF" w:rsidRDefault="007315CF">
      <w:r>
        <w:separator/>
      </w:r>
    </w:p>
  </w:footnote>
  <w:footnote w:type="continuationSeparator" w:id="0">
    <w:p w14:paraId="576E7F73" w14:textId="77777777" w:rsidR="007315CF" w:rsidRDefault="007315CF">
      <w:r>
        <w:continuationSeparator/>
      </w:r>
    </w:p>
  </w:footnote>
  <w:footnote w:type="continuationNotice" w:id="1">
    <w:p w14:paraId="661F5DCB" w14:textId="77777777" w:rsidR="007315CF" w:rsidRDefault="007315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3A463D" w:rsidRDefault="00ED04EC" w:rsidP="003A463D">
          <w:pPr>
            <w:pStyle w:val="RefTableData"/>
          </w:pPr>
          <w:r w:rsidRPr="003A463D">
            <w:t>Reference number(s)</w:t>
          </w:r>
        </w:p>
      </w:tc>
    </w:tr>
    <w:tr w:rsidR="00ED04EC" w:rsidRPr="00ED04EC" w14:paraId="703C6588" w14:textId="77777777" w:rsidTr="0006569F">
      <w:trPr>
        <w:trHeight w:val="378"/>
        <w:jc w:val="right"/>
      </w:trPr>
      <w:tc>
        <w:tcPr>
          <w:tcW w:w="1854" w:type="dxa"/>
          <w:hideMark/>
        </w:tcPr>
        <w:p w14:paraId="51CE3E64" w14:textId="50E95039" w:rsidR="00ED04EC" w:rsidRPr="003A463D" w:rsidRDefault="00DB5FD3" w:rsidP="003A463D">
          <w:pPr>
            <w:pStyle w:val="RefTableData"/>
          </w:pPr>
          <w:r w:rsidRPr="003A463D">
            <w:t>1539-D</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rsidTr="00551DCD">
      <w:trPr>
        <w:trHeight w:val="144"/>
        <w:jc w:val="right"/>
      </w:trPr>
      <w:tc>
        <w:tcPr>
          <w:tcW w:w="1854" w:type="dxa"/>
          <w:hideMark/>
        </w:tcPr>
        <w:p w14:paraId="4ADC44D6" w14:textId="77777777" w:rsidR="000F5383" w:rsidRPr="004159B2" w:rsidRDefault="000F5383" w:rsidP="009E1F57">
          <w:pPr>
            <w:pStyle w:val="RefTableData"/>
          </w:pPr>
          <w:r w:rsidRPr="004159B2">
            <w:t>Reference number(s)</w:t>
          </w:r>
        </w:p>
      </w:tc>
    </w:tr>
    <w:tr w:rsidR="000F5383" w:rsidRPr="00ED04EC" w14:paraId="2259874D" w14:textId="77777777" w:rsidTr="00551DCD">
      <w:trPr>
        <w:trHeight w:val="378"/>
        <w:jc w:val="right"/>
      </w:trPr>
      <w:tc>
        <w:tcPr>
          <w:tcW w:w="1854" w:type="dxa"/>
          <w:hideMark/>
        </w:tcPr>
        <w:p w14:paraId="475EFE95" w14:textId="6C5B6300" w:rsidR="000F5383" w:rsidRPr="00FF66BF" w:rsidRDefault="00DB5FD3" w:rsidP="009E1F57">
          <w:pPr>
            <w:pStyle w:val="RefTableHeader"/>
          </w:pPr>
          <w:r>
            <w:rPr>
              <w:rFonts w:ascii="Arial" w:hAnsi="Arial"/>
            </w:rPr>
            <w:t>1539-D</w:t>
          </w: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4E9562D"/>
    <w:multiLevelType w:val="hybridMultilevel"/>
    <w:tmpl w:val="65F00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3394FE6"/>
    <w:multiLevelType w:val="hybridMultilevel"/>
    <w:tmpl w:val="8C8E84CC"/>
    <w:lvl w:ilvl="0" w:tplc="558682F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75048D"/>
    <w:multiLevelType w:val="hybridMultilevel"/>
    <w:tmpl w:val="00669632"/>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2D20952"/>
    <w:multiLevelType w:val="hybridMultilevel"/>
    <w:tmpl w:val="FAE491F0"/>
    <w:lvl w:ilvl="0" w:tplc="557E2C96">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7"/>
  </w:num>
  <w:num w:numId="3" w16cid:durableId="611589570">
    <w:abstractNumId w:val="22"/>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8"/>
  </w:num>
  <w:num w:numId="17" w16cid:durableId="2128498676">
    <w:abstractNumId w:val="29"/>
  </w:num>
  <w:num w:numId="18" w16cid:durableId="299724409">
    <w:abstractNumId w:val="24"/>
  </w:num>
  <w:num w:numId="19" w16cid:durableId="214585573">
    <w:abstractNumId w:val="14"/>
  </w:num>
  <w:num w:numId="20" w16cid:durableId="1289816170">
    <w:abstractNumId w:val="15"/>
  </w:num>
  <w:num w:numId="21" w16cid:durableId="1066490929">
    <w:abstractNumId w:val="30"/>
  </w:num>
  <w:num w:numId="22" w16cid:durableId="1472481103">
    <w:abstractNumId w:val="26"/>
  </w:num>
  <w:num w:numId="23" w16cid:durableId="1997420403">
    <w:abstractNumId w:val="28"/>
  </w:num>
  <w:num w:numId="24" w16cid:durableId="33312838">
    <w:abstractNumId w:val="25"/>
  </w:num>
  <w:num w:numId="25" w16cid:durableId="507404939">
    <w:abstractNumId w:val="17"/>
  </w:num>
  <w:num w:numId="26" w16cid:durableId="1950313333">
    <w:abstractNumId w:val="20"/>
  </w:num>
  <w:num w:numId="27" w16cid:durableId="1866016584">
    <w:abstractNumId w:val="19"/>
  </w:num>
  <w:num w:numId="28" w16cid:durableId="1835680822">
    <w:abstractNumId w:val="13"/>
  </w:num>
  <w:num w:numId="29" w16cid:durableId="759449552">
    <w:abstractNumId w:val="23"/>
  </w:num>
  <w:num w:numId="30" w16cid:durableId="1947499373">
    <w:abstractNumId w:val="21"/>
  </w:num>
  <w:num w:numId="31" w16cid:durableId="1768621066">
    <w:abstractNumId w:val="16"/>
  </w:num>
  <w:num w:numId="32" w16cid:durableId="1316840914">
    <w:abstractNumId w:val="3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71EC"/>
    <w:rsid w:val="000A7D51"/>
    <w:rsid w:val="000B0F9D"/>
    <w:rsid w:val="000B104D"/>
    <w:rsid w:val="000B1961"/>
    <w:rsid w:val="000B20CD"/>
    <w:rsid w:val="000B40A1"/>
    <w:rsid w:val="000B422C"/>
    <w:rsid w:val="000B57DC"/>
    <w:rsid w:val="000B5871"/>
    <w:rsid w:val="000B5E31"/>
    <w:rsid w:val="000B6086"/>
    <w:rsid w:val="000B61D7"/>
    <w:rsid w:val="000B6B3B"/>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4A9A"/>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0F4A"/>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10A"/>
    <w:rsid w:val="001F55CC"/>
    <w:rsid w:val="001F6065"/>
    <w:rsid w:val="001F629F"/>
    <w:rsid w:val="001F6363"/>
    <w:rsid w:val="001F6373"/>
    <w:rsid w:val="001F6F6F"/>
    <w:rsid w:val="002017F4"/>
    <w:rsid w:val="00201903"/>
    <w:rsid w:val="0020279F"/>
    <w:rsid w:val="002027FF"/>
    <w:rsid w:val="00202A61"/>
    <w:rsid w:val="00202E2F"/>
    <w:rsid w:val="00203468"/>
    <w:rsid w:val="002036D7"/>
    <w:rsid w:val="002041BB"/>
    <w:rsid w:val="002041DB"/>
    <w:rsid w:val="00204EAC"/>
    <w:rsid w:val="00205EB6"/>
    <w:rsid w:val="002063D0"/>
    <w:rsid w:val="00206414"/>
    <w:rsid w:val="0020721A"/>
    <w:rsid w:val="002077DB"/>
    <w:rsid w:val="00207EA9"/>
    <w:rsid w:val="00210090"/>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1644"/>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BFA"/>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4CA6"/>
    <w:rsid w:val="00345D48"/>
    <w:rsid w:val="003468AA"/>
    <w:rsid w:val="00346D5D"/>
    <w:rsid w:val="00347C02"/>
    <w:rsid w:val="00350DF1"/>
    <w:rsid w:val="003524E5"/>
    <w:rsid w:val="00352959"/>
    <w:rsid w:val="00352B5E"/>
    <w:rsid w:val="00352BC7"/>
    <w:rsid w:val="003543BE"/>
    <w:rsid w:val="00354AE7"/>
    <w:rsid w:val="00354C05"/>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A0693"/>
    <w:rsid w:val="003A2056"/>
    <w:rsid w:val="003A463D"/>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BEC"/>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4B4"/>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55F8"/>
    <w:rsid w:val="005462B1"/>
    <w:rsid w:val="0054721E"/>
    <w:rsid w:val="00547DC8"/>
    <w:rsid w:val="00550CEA"/>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905"/>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2CD2"/>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D0B"/>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54CD"/>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A7A"/>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615B"/>
    <w:rsid w:val="007267CF"/>
    <w:rsid w:val="00727843"/>
    <w:rsid w:val="0073079A"/>
    <w:rsid w:val="007315CF"/>
    <w:rsid w:val="00731FCA"/>
    <w:rsid w:val="007325C8"/>
    <w:rsid w:val="00732B93"/>
    <w:rsid w:val="0073324D"/>
    <w:rsid w:val="0073362E"/>
    <w:rsid w:val="00735381"/>
    <w:rsid w:val="007363FE"/>
    <w:rsid w:val="00736D6F"/>
    <w:rsid w:val="0073732D"/>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1B7"/>
    <w:rsid w:val="007944F5"/>
    <w:rsid w:val="007947EE"/>
    <w:rsid w:val="00794B80"/>
    <w:rsid w:val="00795343"/>
    <w:rsid w:val="00795B5C"/>
    <w:rsid w:val="00796193"/>
    <w:rsid w:val="007963DF"/>
    <w:rsid w:val="00796772"/>
    <w:rsid w:val="00796F80"/>
    <w:rsid w:val="00797128"/>
    <w:rsid w:val="00797531"/>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06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1A95"/>
    <w:rsid w:val="00822077"/>
    <w:rsid w:val="0082211C"/>
    <w:rsid w:val="00822A02"/>
    <w:rsid w:val="008231A9"/>
    <w:rsid w:val="0082357B"/>
    <w:rsid w:val="0082395F"/>
    <w:rsid w:val="00823B22"/>
    <w:rsid w:val="008254BC"/>
    <w:rsid w:val="00826FDC"/>
    <w:rsid w:val="008308BE"/>
    <w:rsid w:val="00830CE5"/>
    <w:rsid w:val="008313C2"/>
    <w:rsid w:val="00832520"/>
    <w:rsid w:val="00832E80"/>
    <w:rsid w:val="00832EB5"/>
    <w:rsid w:val="00832F22"/>
    <w:rsid w:val="0083565A"/>
    <w:rsid w:val="00835A0B"/>
    <w:rsid w:val="008409AE"/>
    <w:rsid w:val="00840EA7"/>
    <w:rsid w:val="008428E1"/>
    <w:rsid w:val="00842F87"/>
    <w:rsid w:val="008432CC"/>
    <w:rsid w:val="00843CE4"/>
    <w:rsid w:val="0084425F"/>
    <w:rsid w:val="008445A6"/>
    <w:rsid w:val="00844E79"/>
    <w:rsid w:val="008465D2"/>
    <w:rsid w:val="00850792"/>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805"/>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314F"/>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1E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143E"/>
    <w:rsid w:val="0094296E"/>
    <w:rsid w:val="0094298C"/>
    <w:rsid w:val="009434E1"/>
    <w:rsid w:val="0094553A"/>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D64"/>
    <w:rsid w:val="00995A6D"/>
    <w:rsid w:val="00995DAD"/>
    <w:rsid w:val="00995F4D"/>
    <w:rsid w:val="00996726"/>
    <w:rsid w:val="00996EF4"/>
    <w:rsid w:val="009973BE"/>
    <w:rsid w:val="00997849"/>
    <w:rsid w:val="009A0FE4"/>
    <w:rsid w:val="009A1480"/>
    <w:rsid w:val="009A35FA"/>
    <w:rsid w:val="009A3D32"/>
    <w:rsid w:val="009A3DE5"/>
    <w:rsid w:val="009A4BF1"/>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5212"/>
    <w:rsid w:val="009E6C19"/>
    <w:rsid w:val="009E6E2F"/>
    <w:rsid w:val="009F0845"/>
    <w:rsid w:val="009F1EDE"/>
    <w:rsid w:val="009F2CEE"/>
    <w:rsid w:val="009F2EF1"/>
    <w:rsid w:val="009F3F1F"/>
    <w:rsid w:val="009F426B"/>
    <w:rsid w:val="009F6192"/>
    <w:rsid w:val="009F672D"/>
    <w:rsid w:val="009F6E2E"/>
    <w:rsid w:val="009F7EA7"/>
    <w:rsid w:val="00A000EF"/>
    <w:rsid w:val="00A00395"/>
    <w:rsid w:val="00A00473"/>
    <w:rsid w:val="00A01B93"/>
    <w:rsid w:val="00A037A5"/>
    <w:rsid w:val="00A04292"/>
    <w:rsid w:val="00A04C6A"/>
    <w:rsid w:val="00A051FE"/>
    <w:rsid w:val="00A05BED"/>
    <w:rsid w:val="00A05C06"/>
    <w:rsid w:val="00A05C6E"/>
    <w:rsid w:val="00A06128"/>
    <w:rsid w:val="00A0687B"/>
    <w:rsid w:val="00A06974"/>
    <w:rsid w:val="00A069EF"/>
    <w:rsid w:val="00A073B1"/>
    <w:rsid w:val="00A07888"/>
    <w:rsid w:val="00A07A81"/>
    <w:rsid w:val="00A10362"/>
    <w:rsid w:val="00A10404"/>
    <w:rsid w:val="00A11268"/>
    <w:rsid w:val="00A11EFC"/>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87FE8"/>
    <w:rsid w:val="00A9069E"/>
    <w:rsid w:val="00A923EA"/>
    <w:rsid w:val="00A93B35"/>
    <w:rsid w:val="00A94105"/>
    <w:rsid w:val="00A946C6"/>
    <w:rsid w:val="00A94A0D"/>
    <w:rsid w:val="00A9526B"/>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4C71"/>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F18"/>
    <w:rsid w:val="00B853B4"/>
    <w:rsid w:val="00B85C37"/>
    <w:rsid w:val="00B85CC4"/>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14F"/>
    <w:rsid w:val="00BB5B7E"/>
    <w:rsid w:val="00BB6239"/>
    <w:rsid w:val="00BB6FE9"/>
    <w:rsid w:val="00BB719D"/>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277"/>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0DFC"/>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359"/>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02F"/>
    <w:rsid w:val="00D47412"/>
    <w:rsid w:val="00D500A7"/>
    <w:rsid w:val="00D50531"/>
    <w:rsid w:val="00D50BD5"/>
    <w:rsid w:val="00D50C10"/>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4F55"/>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5FD3"/>
    <w:rsid w:val="00DB6293"/>
    <w:rsid w:val="00DB6413"/>
    <w:rsid w:val="00DB793D"/>
    <w:rsid w:val="00DC1591"/>
    <w:rsid w:val="00DC2163"/>
    <w:rsid w:val="00DC2997"/>
    <w:rsid w:val="00DC3267"/>
    <w:rsid w:val="00DC34C2"/>
    <w:rsid w:val="00DC46DA"/>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E7B7C"/>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170"/>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121D"/>
    <w:rsid w:val="00F6150C"/>
    <w:rsid w:val="00F61D08"/>
    <w:rsid w:val="00F624BA"/>
    <w:rsid w:val="00F62986"/>
    <w:rsid w:val="00F62CF0"/>
    <w:rsid w:val="00F63935"/>
    <w:rsid w:val="00F64317"/>
    <w:rsid w:val="00F64C5A"/>
    <w:rsid w:val="00F6528B"/>
    <w:rsid w:val="00F6590B"/>
    <w:rsid w:val="00F65B12"/>
    <w:rsid w:val="00F65EB0"/>
    <w:rsid w:val="00F65FF1"/>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C7FE8"/>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3.xml><?xml version="1.0" encoding="utf-8"?>
<ds:datastoreItem xmlns:ds="http://schemas.openxmlformats.org/officeDocument/2006/customXml" ds:itemID="{FD5523EB-9CFC-4591-BD7E-F4C626F29E60}"/>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279</Words>
  <Characters>1595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Specialty Generics First Criteria 1539-D</vt:lpstr>
    </vt:vector>
  </TitlesOfParts>
  <Company>CVS Caremark</Company>
  <LinksUpToDate>false</LinksUpToDate>
  <CharactersWithSpaces>1871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Specialty Generics First Criteria 1539-D</dc:title>
  <dc:subject>Specialty Generics First Criteria 1539-D</dc:subject>
  <dc:creator>CVS Caremark</dc:creator>
  <cp:keywords/>
  <cp:lastModifiedBy>Reynoso, Victor H</cp:lastModifiedBy>
  <cp:revision>4</cp:revision>
  <cp:lastPrinted>2018-01-09T05:01:00Z</cp:lastPrinted>
  <dcterms:created xsi:type="dcterms:W3CDTF">2025-04-17T16:29:00Z</dcterms:created>
  <dcterms:modified xsi:type="dcterms:W3CDTF">2025-04-17T16:31:00Z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1254300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